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C2B6" w14:textId="77777777" w:rsidR="00D44E26" w:rsidRPr="00ED1716" w:rsidRDefault="00D44E26" w:rsidP="005F0C7F">
      <w:pPr>
        <w:pStyle w:val="a3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000000" w:themeColor="text1"/>
        </w:rPr>
      </w:pPr>
    </w:p>
    <w:p w14:paraId="4BF0C843" w14:textId="77777777" w:rsidR="00430BC7" w:rsidRPr="00ED1716" w:rsidRDefault="00430BC7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>Доклад</w:t>
      </w:r>
    </w:p>
    <w:p w14:paraId="6F3F8DD3" w14:textId="77777777" w:rsidR="00AE0A9B" w:rsidRPr="00ED1716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14:paraId="7430CF89" w14:textId="394E61CD" w:rsidR="00430BC7" w:rsidRPr="00ED1716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в </w:t>
      </w:r>
      <w:r w:rsidR="00AE0A9B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МО «Т</w:t>
      </w:r>
      <w:r w:rsidR="007D6E05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олпаровское</w:t>
      </w:r>
      <w:r w:rsidR="00AE0A9B" w:rsidRPr="00ED1716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 xml:space="preserve"> сельское поселение»</w:t>
      </w:r>
    </w:p>
    <w:p w14:paraId="0F96AC97" w14:textId="6898BBAA" w:rsidR="00430BC7" w:rsidRPr="00ED1716" w:rsidRDefault="00EA405B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ED1716">
        <w:rPr>
          <w:rStyle w:val="a4"/>
          <w:rFonts w:ascii="PT Astra Serif" w:hAnsi="PT Astra Serif" w:cs="Arial"/>
          <w:b w:val="0"/>
          <w:color w:val="000000" w:themeColor="text1"/>
        </w:rPr>
        <w:t>за 202</w:t>
      </w:r>
      <w:r w:rsidR="00FE01A6">
        <w:rPr>
          <w:rStyle w:val="a4"/>
          <w:rFonts w:ascii="PT Astra Serif" w:hAnsi="PT Astra Serif" w:cs="Arial"/>
          <w:b w:val="0"/>
          <w:color w:val="000000" w:themeColor="text1"/>
        </w:rPr>
        <w:t>4</w:t>
      </w:r>
      <w:r w:rsidR="006D0BE5" w:rsidRPr="00ED1716">
        <w:rPr>
          <w:rStyle w:val="a4"/>
          <w:rFonts w:ascii="PT Astra Serif" w:hAnsi="PT Astra Serif" w:cs="Arial"/>
          <w:b w:val="0"/>
          <w:color w:val="000000" w:themeColor="text1"/>
        </w:rPr>
        <w:t xml:space="preserve"> год</w:t>
      </w:r>
    </w:p>
    <w:p w14:paraId="2267CD09" w14:textId="77777777" w:rsidR="00C81532" w:rsidRPr="00ED1716" w:rsidRDefault="00F32D1E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30BC7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положения:</w:t>
      </w:r>
    </w:p>
    <w:p w14:paraId="0331A43F" w14:textId="5B02B30B" w:rsidR="00AE0A9B" w:rsidRPr="00ED1716" w:rsidRDefault="00AE0A9B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в Администрации 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создана  система внутреннего обеспечения соответствия требованиям антимонопольного законодательства (далее - антимонопольный комплаенс).</w:t>
      </w:r>
    </w:p>
    <w:p w14:paraId="2276AD6D" w14:textId="09C90D30" w:rsidR="00AE0A9B" w:rsidRPr="00ED1716" w:rsidRDefault="00F84C5F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Постановление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.05.2021 № 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Положение об организации в Администрации Т</w:t>
      </w:r>
      <w:r w:rsidR="007D6E0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системы внутреннего обеспечения соответств</w:t>
      </w:r>
      <w:r w:rsidR="00267520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требованиям антимонопольного </w:t>
      </w:r>
      <w:r w:rsidR="00AE0A9B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267520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525"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E01A6" w:rsidRPr="00FE01A6">
        <w:rPr>
          <w:rFonts w:ascii="Times New Roman" w:hAnsi="Times New Roman" w:cs="Times New Roman"/>
          <w:color w:val="000000" w:themeColor="text1"/>
          <w:sz w:val="24"/>
          <w:szCs w:val="24"/>
        </w:rPr>
        <w:t>https://tolparovskoe-r69.gosweb.gosuslugi.ru/ofitsialno/dokumenty/postanovleniya/postanovleniya-2021/2021_318.html</w:t>
      </w:r>
    </w:p>
    <w:p w14:paraId="3DE7EC57" w14:textId="77777777" w:rsidR="00430BC7" w:rsidRPr="00ED1716" w:rsidRDefault="00AE0A9B" w:rsidP="005F0C7F">
      <w:pPr>
        <w:spacing w:before="135"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D1716">
        <w:rPr>
          <w:rFonts w:ascii="PT Astra Serif" w:hAnsi="PT Astra Serif"/>
          <w:color w:val="000000" w:themeColor="text1"/>
          <w:sz w:val="24"/>
          <w:szCs w:val="24"/>
        </w:rPr>
        <w:t xml:space="preserve">         2. </w:t>
      </w:r>
      <w:r w:rsidR="00430BC7" w:rsidRPr="00ED1716">
        <w:rPr>
          <w:rFonts w:ascii="PT Astra Serif" w:hAnsi="PT Astra Serif"/>
          <w:color w:val="000000" w:themeColor="text1"/>
          <w:sz w:val="24"/>
          <w:szCs w:val="24"/>
        </w:rPr>
        <w:t>Информация о проведенных мероприятиях по реализации антимонопольного комплаенса:</w:t>
      </w:r>
    </w:p>
    <w:p w14:paraId="0562A9DD" w14:textId="77777777" w:rsidR="00430BC7" w:rsidRPr="00ED1716" w:rsidRDefault="00430BC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ED1716">
        <w:rPr>
          <w:rFonts w:ascii="PT Astra Serif" w:hAnsi="PT Astra Serif"/>
          <w:color w:val="000000" w:themeColor="text1"/>
          <w:sz w:val="24"/>
          <w:szCs w:val="24"/>
        </w:rPr>
        <w:t>2.1.</w:t>
      </w:r>
      <w:r w:rsidR="00771F17" w:rsidRPr="00ED171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716">
        <w:rPr>
          <w:rFonts w:ascii="PT Astra Serif" w:hAnsi="PT Astra Serif"/>
          <w:bCs/>
          <w:color w:val="000000" w:themeColor="text1"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ED1716">
        <w:rPr>
          <w:rFonts w:ascii="PT Astra Serif" w:hAnsi="PT Astra Serif"/>
          <w:bCs/>
          <w:color w:val="000000" w:themeColor="text1"/>
          <w:sz w:val="24"/>
          <w:szCs w:val="24"/>
        </w:rPr>
        <w:t xml:space="preserve">(далее - АМЗ) </w:t>
      </w:r>
      <w:r w:rsidR="00771F17" w:rsidRPr="00ED1716">
        <w:rPr>
          <w:rFonts w:ascii="PT Astra Serif" w:hAnsi="PT Astra Serif"/>
          <w:bCs/>
          <w:color w:val="000000" w:themeColor="text1"/>
          <w:sz w:val="24"/>
          <w:szCs w:val="24"/>
        </w:rPr>
        <w:t>в деятельности ОМСУ</w:t>
      </w:r>
      <w:r w:rsidR="00F26CD1" w:rsidRPr="00ED1716">
        <w:rPr>
          <w:rFonts w:ascii="PT Astra Serif" w:hAnsi="PT Astra Serif"/>
          <w:bCs/>
          <w:color w:val="000000" w:themeColor="text1"/>
          <w:sz w:val="24"/>
          <w:szCs w:val="24"/>
        </w:rPr>
        <w:t>:</w:t>
      </w:r>
    </w:p>
    <w:p w14:paraId="351B381C" w14:textId="3659C44F" w:rsidR="00BD6097" w:rsidRPr="00ED1716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Наличие предостережений, предупреждений, штрафов, жалоб, возбужденных дел в </w:t>
      </w:r>
      <w:r w:rsidRPr="00ED171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202</w:t>
      </w:r>
      <w:r w:rsidR="00FE01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ED1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отсутствует:</w:t>
      </w:r>
    </w:p>
    <w:p w14:paraId="7044662E" w14:textId="77777777" w:rsidR="00430BC7" w:rsidRPr="00F84C5F" w:rsidRDefault="00430BC7" w:rsidP="005F0C7F">
      <w:pPr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F84C5F" w14:paraId="054CD864" w14:textId="77777777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14:paraId="0B10F50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14:paraId="24944923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14:paraId="67C67D68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14:paraId="44C5F9BD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7A0AA445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EA0D7B" w:rsidRPr="00F84C5F" w14:paraId="0CE8CE60" w14:textId="77777777" w:rsidTr="00B00C62">
        <w:trPr>
          <w:trHeight w:val="623"/>
        </w:trPr>
        <w:tc>
          <w:tcPr>
            <w:tcW w:w="1560" w:type="dxa"/>
            <w:shd w:val="clear" w:color="000000" w:fill="auto"/>
          </w:tcPr>
          <w:p w14:paraId="70162867" w14:textId="77777777" w:rsidR="00EA0D7B" w:rsidRPr="00F84C5F" w:rsidRDefault="00EF4E9A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14:paraId="1D18DA7A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auto"/>
          </w:tcPr>
          <w:p w14:paraId="5D8232E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66E733F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4EC23E9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A41FB56" w14:textId="77777777" w:rsidR="00BD6097" w:rsidRPr="00F84C5F" w:rsidRDefault="00BD609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053F081" w14:textId="77777777" w:rsidR="00BD6097" w:rsidRPr="00F84C5F" w:rsidRDefault="00BD6097" w:rsidP="005F0C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BD6097" w:rsidRPr="00F84C5F" w14:paraId="2C26BBFA" w14:textId="77777777" w:rsidTr="00795247">
        <w:trPr>
          <w:jc w:val="center"/>
        </w:trPr>
        <w:tc>
          <w:tcPr>
            <w:tcW w:w="1500" w:type="pct"/>
            <w:vAlign w:val="center"/>
          </w:tcPr>
          <w:p w14:paraId="1F3E4BAC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14:paraId="33E9D1EA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BD6097" w:rsidRPr="00F84C5F" w14:paraId="54876F69" w14:textId="77777777" w:rsidTr="00795247">
        <w:trPr>
          <w:jc w:val="center"/>
        </w:trPr>
        <w:tc>
          <w:tcPr>
            <w:tcW w:w="1500" w:type="pct"/>
            <w:vAlign w:val="center"/>
          </w:tcPr>
          <w:p w14:paraId="6506219C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14:paraId="37445BED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D6097" w:rsidRPr="00F84C5F" w14:paraId="40943321" w14:textId="77777777" w:rsidTr="00795247">
        <w:trPr>
          <w:jc w:val="center"/>
        </w:trPr>
        <w:tc>
          <w:tcPr>
            <w:tcW w:w="1500" w:type="pct"/>
            <w:vAlign w:val="center"/>
          </w:tcPr>
          <w:p w14:paraId="6AC9E097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14:paraId="5DB9EBB4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</w:t>
            </w:r>
          </w:p>
        </w:tc>
      </w:tr>
      <w:tr w:rsidR="00BD6097" w:rsidRPr="00F84C5F" w14:paraId="32851130" w14:textId="77777777" w:rsidTr="00795247">
        <w:trPr>
          <w:trHeight w:val="1322"/>
          <w:jc w:val="center"/>
        </w:trPr>
        <w:tc>
          <w:tcPr>
            <w:tcW w:w="1500" w:type="pct"/>
            <w:vAlign w:val="center"/>
          </w:tcPr>
          <w:p w14:paraId="107A518F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14:paraId="3F9782E3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BD6097" w:rsidRPr="00F84C5F" w14:paraId="44BBE1DC" w14:textId="77777777" w:rsidTr="00795247">
        <w:trPr>
          <w:jc w:val="center"/>
        </w:trPr>
        <w:tc>
          <w:tcPr>
            <w:tcW w:w="1500" w:type="pct"/>
            <w:vAlign w:val="center"/>
          </w:tcPr>
          <w:p w14:paraId="35F1264B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 уровень</w:t>
            </w:r>
          </w:p>
        </w:tc>
        <w:tc>
          <w:tcPr>
            <w:tcW w:w="3500" w:type="pct"/>
            <w:vAlign w:val="center"/>
          </w:tcPr>
          <w:p w14:paraId="7F56EC80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76D49C65" w14:textId="77777777" w:rsidR="00BD6097" w:rsidRPr="00F84C5F" w:rsidRDefault="00BD609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580C8F9" w14:textId="77777777" w:rsidR="00430BC7" w:rsidRPr="00F84C5F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sz w:val="24"/>
          <w:szCs w:val="24"/>
        </w:rPr>
        <w:t>2.2. Ана</w:t>
      </w:r>
      <w:r w:rsidRPr="00F84C5F">
        <w:rPr>
          <w:rFonts w:ascii="PT Astra Serif" w:hAnsi="PT Astra Serif"/>
          <w:sz w:val="24"/>
          <w:szCs w:val="24"/>
        </w:rPr>
        <w:t>лиз действующих нормативных правовых актов</w:t>
      </w:r>
      <w:r w:rsidR="00C511FB" w:rsidRPr="00F84C5F">
        <w:rPr>
          <w:rFonts w:ascii="PT Astra Serif" w:hAnsi="PT Astra Serif"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="00F32D1E" w:rsidRPr="00F84C5F">
        <w:rPr>
          <w:rFonts w:ascii="PT Astra Serif" w:hAnsi="PT Astra Serif"/>
          <w:sz w:val="24"/>
          <w:szCs w:val="24"/>
        </w:rPr>
        <w:t>:</w:t>
      </w:r>
    </w:p>
    <w:p w14:paraId="48AAE314" w14:textId="77777777" w:rsidR="00267520" w:rsidRPr="005F0C7F" w:rsidRDefault="00267520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проведенного анализа действующих </w:t>
      </w:r>
      <w:r w:rsidRPr="005F0C7F">
        <w:rPr>
          <w:rFonts w:ascii="Times New Roman" w:eastAsia="Times New Roman" w:hAnsi="Times New Roman" w:cs="Times New Roman"/>
          <w:sz w:val="24"/>
          <w:szCs w:val="24"/>
        </w:rPr>
        <w:t xml:space="preserve">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14:paraId="5ED66250" w14:textId="77777777" w:rsidR="00267520" w:rsidRPr="005F0C7F" w:rsidRDefault="008A59C5" w:rsidP="005F0C7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5F0C7F">
        <w:rPr>
          <w:rFonts w:ascii="PT Astra Serif" w:hAnsi="PT Astra Serif"/>
          <w:sz w:val="24"/>
          <w:szCs w:val="24"/>
        </w:rPr>
        <w:t>2.3.</w:t>
      </w:r>
      <w:r w:rsidRPr="005F0C7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5F0C7F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  <w:r w:rsidR="00EF4E9A" w:rsidRPr="005F0C7F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61866E0D" w14:textId="4AA20831" w:rsidR="00267520" w:rsidRPr="005F0C7F" w:rsidRDefault="0031468A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 анализа проектов  НПА, </w:t>
      </w:r>
      <w:r w:rsidR="00091CDB">
        <w:rPr>
          <w:rFonts w:ascii="Times New Roman" w:eastAsia="Times New Roman" w:hAnsi="Times New Roman" w:cs="Times New Roman"/>
          <w:sz w:val="24"/>
          <w:szCs w:val="24"/>
        </w:rPr>
        <w:t>разработанных в 202</w:t>
      </w:r>
      <w:r w:rsidR="00FE01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CDB">
        <w:rPr>
          <w:rFonts w:ascii="Times New Roman" w:eastAsia="Times New Roman" w:hAnsi="Times New Roman" w:cs="Times New Roman"/>
          <w:sz w:val="24"/>
          <w:szCs w:val="24"/>
        </w:rPr>
        <w:t xml:space="preserve"> году, на предмет их соответствия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 антимонопольному законодательству</w:t>
      </w:r>
      <w:r w:rsidR="00091CDB">
        <w:rPr>
          <w:rFonts w:ascii="Times New Roman" w:eastAsia="Times New Roman" w:hAnsi="Times New Roman" w:cs="Times New Roman"/>
          <w:sz w:val="24"/>
          <w:szCs w:val="24"/>
        </w:rPr>
        <w:t>, не требовалось, в связи с чем указанные нормативно правовые акты не подлежали процедуре общественного обсуждения</w:t>
      </w:r>
      <w:r w:rsidR="00267520" w:rsidRPr="005F0C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8E480" w14:textId="77777777" w:rsidR="00DB1EE4" w:rsidRPr="005F0C7F" w:rsidRDefault="006121F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5F0C7F">
        <w:rPr>
          <w:rFonts w:ascii="PT Astra Serif" w:hAnsi="PT Astra Serif"/>
          <w:bCs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</w:p>
    <w:p w14:paraId="0AA30567" w14:textId="7670AC9A" w:rsidR="00BD6097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14:paraId="5B9A8176" w14:textId="22FB2D94" w:rsidR="00091CDB" w:rsidRPr="005F0C7F" w:rsidRDefault="00091CDB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Мониторинг и анализ практики применения антимонопольного законодательства по разным сферам деятельности в 202</w:t>
      </w:r>
      <w:r w:rsidR="00FE01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не проводился.</w:t>
      </w:r>
    </w:p>
    <w:p w14:paraId="13065424" w14:textId="77777777" w:rsidR="00C255C1" w:rsidRPr="005F0C7F" w:rsidRDefault="00C255C1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bCs/>
          <w:i/>
          <w:sz w:val="24"/>
          <w:szCs w:val="24"/>
        </w:rPr>
        <w:t xml:space="preserve">2.5. </w:t>
      </w:r>
      <w:r w:rsidRPr="005F0C7F">
        <w:rPr>
          <w:rFonts w:ascii="PT Astra Serif" w:hAnsi="PT Astra Serif"/>
          <w:sz w:val="24"/>
          <w:szCs w:val="24"/>
        </w:rPr>
        <w:t xml:space="preserve">Проведение оценки </w:t>
      </w:r>
      <w:r w:rsidR="00AD5BDC" w:rsidRPr="005F0C7F">
        <w:rPr>
          <w:rFonts w:ascii="PT Astra Serif" w:hAnsi="PT Astra Serif"/>
          <w:sz w:val="24"/>
          <w:szCs w:val="24"/>
        </w:rPr>
        <w:t>выполнения</w:t>
      </w:r>
      <w:r w:rsidRPr="005F0C7F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sz w:val="24"/>
          <w:szCs w:val="24"/>
        </w:rPr>
        <w:t xml:space="preserve"> в </w:t>
      </w:r>
      <w:r w:rsidR="00F84C5F" w:rsidRPr="005F0C7F">
        <w:rPr>
          <w:rFonts w:ascii="PT Astra Serif" w:hAnsi="PT Astra Serif"/>
          <w:sz w:val="24"/>
          <w:szCs w:val="24"/>
        </w:rPr>
        <w:t xml:space="preserve">Администрации </w:t>
      </w:r>
      <w:r w:rsidR="00F84C5F" w:rsidRPr="005F0C7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14:paraId="74D69A4E" w14:textId="77777777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антимонопольному комплаенсу и разное.</w:t>
      </w:r>
    </w:p>
    <w:p w14:paraId="67EA8923" w14:textId="213D8FAD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Томской области и на период  202</w:t>
      </w:r>
      <w:r w:rsidR="00FE01A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</w:t>
      </w:r>
      <w:r w:rsidR="00E924B6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комплаенса и применения антимонопольного законодательства органами государственной вл</w:t>
      </w:r>
      <w:r w:rsidR="00F84C5F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асти и местного самоуправления».</w:t>
      </w:r>
    </w:p>
    <w:p w14:paraId="2B9BE5A6" w14:textId="3A95D150" w:rsidR="00DE36C9" w:rsidRDefault="007D3ACF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C722EC" w:rsidRPr="005F0C7F">
        <w:rPr>
          <w:rFonts w:ascii="PT Astra Serif" w:hAnsi="PT Astra Serif"/>
          <w:bCs/>
          <w:sz w:val="24"/>
          <w:szCs w:val="24"/>
        </w:rPr>
        <w:t>ОМСУ</w:t>
      </w:r>
      <w:r w:rsidRPr="005F0C7F">
        <w:rPr>
          <w:rFonts w:ascii="PT Astra Serif" w:hAnsi="PT Astra Serif"/>
          <w:bCs/>
          <w:sz w:val="24"/>
          <w:szCs w:val="24"/>
        </w:rPr>
        <w:t xml:space="preserve"> антимонопольного комплаенса</w:t>
      </w:r>
      <w:r w:rsidR="00DE36C9" w:rsidRPr="005F0C7F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F84C5F" w:rsidRPr="005F0C7F">
        <w:rPr>
          <w:rFonts w:ascii="PT Astra Serif" w:hAnsi="PT Astra Serif"/>
          <w:bCs/>
          <w:sz w:val="24"/>
          <w:szCs w:val="24"/>
        </w:rPr>
        <w:t xml:space="preserve"> 2</w:t>
      </w:r>
      <w:r w:rsidR="00DE36C9" w:rsidRPr="005F0C7F">
        <w:rPr>
          <w:rFonts w:ascii="PT Astra Serif" w:hAnsi="PT Astra Serif"/>
          <w:bCs/>
          <w:sz w:val="24"/>
          <w:szCs w:val="24"/>
        </w:rPr>
        <w:t>).</w:t>
      </w:r>
    </w:p>
    <w:p w14:paraId="208BC3E7" w14:textId="7472BEA9" w:rsidR="00091CDB" w:rsidRPr="005F0C7F" w:rsidRDefault="00091CDB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Проведенный анализ ключевых показателей показал высокую эффективность функционирования в Администрации Толпаровского сельского поселения антимонопольного комплаенса в 202</w:t>
      </w:r>
      <w:r w:rsidR="00FE01A6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 году.</w:t>
      </w:r>
    </w:p>
    <w:p w14:paraId="16C5D44B" w14:textId="77777777" w:rsidR="00DE36C9" w:rsidRPr="005F0C7F" w:rsidRDefault="00DE36C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>4. Выводы:</w:t>
      </w:r>
    </w:p>
    <w:p w14:paraId="3E6E038F" w14:textId="0E911667" w:rsidR="00F84C5F" w:rsidRPr="005F0C7F" w:rsidRDefault="00F84C5F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Нарушений АМЗ со стороны Администрации в 202</w:t>
      </w:r>
      <w:r w:rsidR="00FE01A6">
        <w:rPr>
          <w:rFonts w:ascii="Times New Roman" w:hAnsi="Times New Roman" w:cs="Times New Roman"/>
          <w:bCs/>
          <w:sz w:val="24"/>
          <w:szCs w:val="24"/>
        </w:rPr>
        <w:t>4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14:paraId="1D8B5546" w14:textId="77777777" w:rsidR="00F84C5F" w:rsidRPr="005F0C7F" w:rsidRDefault="00F84C5F" w:rsidP="005F0C7F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 внедрена успешно.</w:t>
      </w:r>
    </w:p>
    <w:p w14:paraId="05532D7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сельского поселения.</w:t>
      </w:r>
    </w:p>
    <w:p w14:paraId="6304935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Урегулировано взаимодействие муниципальных служащих и работников Администрации по вопросам развития и совершенствования антимонопольного комплаенса.</w:t>
      </w:r>
    </w:p>
    <w:p w14:paraId="41961BCB" w14:textId="17FACA1C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запланированы следующие мероприятия на 202</w:t>
      </w:r>
      <w:r w:rsidR="00FE01A6">
        <w:rPr>
          <w:rFonts w:ascii="Times New Roman" w:hAnsi="Times New Roman" w:cs="Times New Roman"/>
          <w:sz w:val="24"/>
          <w:szCs w:val="24"/>
        </w:rPr>
        <w:t>5</w:t>
      </w:r>
      <w:r w:rsidRPr="005F0C7F">
        <w:rPr>
          <w:rFonts w:ascii="Times New Roman" w:hAnsi="Times New Roman" w:cs="Times New Roman"/>
          <w:sz w:val="24"/>
          <w:szCs w:val="24"/>
        </w:rPr>
        <w:t xml:space="preserve"> годы:</w:t>
      </w:r>
    </w:p>
    <w:p w14:paraId="36B51FC0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- разработать  «дорожную карту» по снижению комплаенс-рисков администрации.</w:t>
      </w:r>
    </w:p>
    <w:p w14:paraId="5D8FDCE5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Администрации;</w:t>
      </w:r>
    </w:p>
    <w:p w14:paraId="731A165A" w14:textId="68F392A7" w:rsidR="00F84C5F" w:rsidRPr="005F0C7F" w:rsidRDefault="00F84C5F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- планирование, реализация и информационное сопровождение мероприятий Комплексного плана в 202</w:t>
      </w:r>
      <w:r w:rsidR="00FE01A6">
        <w:rPr>
          <w:rFonts w:ascii="Times New Roman" w:hAnsi="Times New Roman" w:cs="Times New Roman"/>
          <w:bCs/>
          <w:sz w:val="24"/>
          <w:szCs w:val="24"/>
        </w:rPr>
        <w:t>5</w:t>
      </w:r>
      <w:r w:rsidR="005F0C7F">
        <w:rPr>
          <w:rFonts w:ascii="Times New Roman" w:hAnsi="Times New Roman" w:cs="Times New Roman"/>
          <w:bCs/>
          <w:sz w:val="24"/>
          <w:szCs w:val="24"/>
        </w:rPr>
        <w:t>-202</w:t>
      </w:r>
      <w:r w:rsidR="00FE01A6">
        <w:rPr>
          <w:rFonts w:ascii="Times New Roman" w:hAnsi="Times New Roman" w:cs="Times New Roman"/>
          <w:bCs/>
          <w:sz w:val="24"/>
          <w:szCs w:val="24"/>
        </w:rPr>
        <w:t>6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годах взяты под личный контроль.</w:t>
      </w:r>
    </w:p>
    <w:p w14:paraId="4AD880BE" w14:textId="77777777" w:rsidR="00AD5BDC" w:rsidRPr="005F0C7F" w:rsidRDefault="00AD5BDC" w:rsidP="005F0C7F">
      <w:pPr>
        <w:rPr>
          <w:rFonts w:ascii="PT Astra Serif" w:hAnsi="PT Astra Serif"/>
          <w:bCs/>
          <w:sz w:val="28"/>
          <w:szCs w:val="28"/>
        </w:rPr>
        <w:sectPr w:rsidR="00AD5BDC" w:rsidRPr="005F0C7F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AD5BDC" w:rsidRPr="005F0C7F" w14:paraId="5ECA7CA0" w14:textId="77777777" w:rsidTr="00AD5BDC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D136" w14:textId="77777777" w:rsidR="00F84C5F" w:rsidRPr="005F0C7F" w:rsidRDefault="00F84C5F" w:rsidP="005F0C7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599FCCE" w14:textId="77777777" w:rsidR="00F84C5F" w:rsidRPr="005F0C7F" w:rsidRDefault="00F84C5F" w:rsidP="005F0C7F">
            <w:pPr>
              <w:jc w:val="right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>Приложение 1 к докладу</w:t>
            </w:r>
          </w:p>
          <w:p w14:paraId="6F842BCC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</w:p>
          <w:p w14:paraId="3C911D75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14:paraId="2623DE28" w14:textId="77777777" w:rsidR="00F84C5F" w:rsidRPr="005F0C7F" w:rsidRDefault="00F84C5F" w:rsidP="005F0C7F">
            <w:pPr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84C5F" w:rsidRPr="005F0C7F" w14:paraId="5B034899" w14:textId="77777777" w:rsidTr="00795247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490E7767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24" w:type="dxa"/>
                  <w:vAlign w:val="center"/>
                </w:tcPr>
                <w:p w14:paraId="4B078036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14:paraId="79CE70A1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14:paraId="7FC3C898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14:paraId="14F37605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Информация об исполнении мероприятия</w:t>
                  </w:r>
                </w:p>
              </w:tc>
            </w:tr>
            <w:tr w:rsidR="00F84C5F" w:rsidRPr="005F0C7F" w14:paraId="45B30C0B" w14:textId="77777777" w:rsidTr="00795247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14:paraId="28050AEC" w14:textId="77777777" w:rsidR="00F84C5F" w:rsidRPr="005F0C7F" w:rsidRDefault="00F84C5F" w:rsidP="005F0C7F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14:paraId="6480C47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Разработка проектов нормативных правовых актов Администрации об антимонопольном комплаенсе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14:paraId="3AFD128B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19BD4321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CC4FA4B" w14:textId="2F285D59" w:rsidR="00F84C5F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7BC2D6A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14:paraId="7CB1A27A" w14:textId="52DE952D" w:rsidR="00F84C5F" w:rsidRPr="005F0C7F" w:rsidRDefault="00F84C5F" w:rsidP="005F0C7F">
                  <w:pPr>
                    <w:ind w:right="-183"/>
                    <w:rPr>
                      <w:sz w:val="24"/>
                      <w:szCs w:val="24"/>
                    </w:rPr>
                  </w:pPr>
                  <w:r w:rsidRPr="005F0C7F">
                    <w:t>постановление от</w:t>
                  </w:r>
                  <w:r w:rsidR="007D6E05" w:rsidRPr="005F0C7F">
                    <w:t xml:space="preserve"> 26</w:t>
                  </w:r>
                  <w:r w:rsidRPr="005F0C7F">
                    <w:t xml:space="preserve">.05.2021 № </w:t>
                  </w:r>
                  <w:r w:rsidR="007D6E05" w:rsidRPr="005F0C7F">
                    <w:t>15</w:t>
                  </w:r>
                  <w:r w:rsidRPr="005F0C7F">
                    <w:t xml:space="preserve"> «Об организации в Администрации Т</w:t>
                  </w:r>
                  <w:r w:rsidR="007D6E05" w:rsidRPr="005F0C7F">
                    <w:t>олпаровского</w:t>
                  </w:r>
                  <w:r w:rsidRPr="005F0C7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84C5F" w:rsidRPr="005F0C7F" w14:paraId="0EB658E7" w14:textId="77777777" w:rsidTr="00795247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14:paraId="00E1E73A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14:paraId="75705EC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Взаимодействие с антимонопольным органом по вопросам функционирования в Администрации антимонопольного комплаенса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2F00547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7D07613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F294E87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</w:t>
                  </w:r>
                </w:p>
              </w:tc>
            </w:tr>
            <w:tr w:rsidR="00F84C5F" w:rsidRPr="005F0C7F" w14:paraId="0E70F340" w14:textId="77777777" w:rsidTr="00795247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14:paraId="047D50D1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14:paraId="56920C8F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14:paraId="3BF8B15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до 25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4EB896A5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A7826B0" w14:textId="77777777" w:rsidR="00F84C5F" w:rsidRPr="005F0C7F" w:rsidRDefault="00F84C5F" w:rsidP="005F0C7F">
                  <w:pPr>
                    <w:jc w:val="center"/>
                  </w:pPr>
                  <w:r w:rsidRPr="005F0C7F">
                    <w:t xml:space="preserve">подготовлен в срок до 25 февраля, </w:t>
                  </w:r>
                </w:p>
              </w:tc>
            </w:tr>
            <w:tr w:rsidR="00F84C5F" w:rsidRPr="005F0C7F" w14:paraId="4D5BD05C" w14:textId="77777777" w:rsidTr="00795247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14:paraId="1E309267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14:paraId="486D3D14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21CD02EE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50F6360F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084AFE0" w14:textId="77777777" w:rsidR="00F84C5F" w:rsidRPr="005F0C7F" w:rsidRDefault="00F84C5F" w:rsidP="005F0C7F">
                  <w:pPr>
                    <w:jc w:val="center"/>
                  </w:pPr>
                  <w:r w:rsidRPr="005F0C7F"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84C5F" w:rsidRPr="005F0C7F" w14:paraId="7D3EE5BC" w14:textId="77777777" w:rsidTr="00795247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14:paraId="565524CC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14:paraId="1B719BF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0796E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504919E0" w14:textId="77777777" w:rsidR="007D6E05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3620BF42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21560D09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 мере необходимости</w:t>
                  </w:r>
                </w:p>
              </w:tc>
            </w:tr>
            <w:tr w:rsidR="00F84C5F" w:rsidRPr="005F0C7F" w14:paraId="70339847" w14:textId="77777777" w:rsidTr="00795247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14:paraId="71006AD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14:paraId="380F723A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Ознакомление с настоящим Положением:</w:t>
                  </w:r>
                </w:p>
                <w:p w14:paraId="439DF6DC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муниципальных служащих;</w:t>
                  </w:r>
                </w:p>
                <w:p w14:paraId="1E141CF5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14:paraId="04A79DF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D64316D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7C8DF83" w14:textId="77777777" w:rsidR="00F84C5F" w:rsidRPr="005F0C7F" w:rsidRDefault="00F84C5F" w:rsidP="005F0C7F">
                  <w:pPr>
                    <w:jc w:val="center"/>
                  </w:pPr>
                  <w:r w:rsidRPr="005F0C7F">
                    <w:rPr>
                      <w:color w:val="000000" w:themeColor="text1"/>
                    </w:rPr>
                    <w:t>постоянно</w:t>
                  </w:r>
                </w:p>
              </w:tc>
            </w:tr>
            <w:tr w:rsidR="00F84C5F" w:rsidRPr="005F0C7F" w14:paraId="37B3CBE2" w14:textId="77777777" w:rsidTr="00795247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14:paraId="0665C70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14:paraId="0990BB9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107999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40570B3" w14:textId="77777777" w:rsidR="00F84C5F" w:rsidRPr="005F0C7F" w:rsidRDefault="00F84C5F" w:rsidP="005F0C7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FC143C3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постоянно,</w:t>
                  </w:r>
                </w:p>
                <w:p w14:paraId="34518DA5" w14:textId="77777777" w:rsidR="00F84C5F" w:rsidRPr="005F0C7F" w:rsidRDefault="00F84C5F" w:rsidP="005F0C7F">
                  <w:pPr>
                    <w:jc w:val="center"/>
                  </w:pPr>
                  <w:r w:rsidRPr="005F0C7F">
                    <w:t>не выявлены</w:t>
                  </w:r>
                </w:p>
              </w:tc>
            </w:tr>
          </w:tbl>
          <w:p w14:paraId="07A167E2" w14:textId="77777777" w:rsidR="00F84C5F" w:rsidRPr="005F0C7F" w:rsidRDefault="00F84C5F" w:rsidP="005F0C7F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61B0737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65F0B912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5EF8DD8D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0C584749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1B385ED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F2596BC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01488A1" w14:textId="77777777" w:rsidR="00AD5BDC" w:rsidRPr="005F0C7F" w:rsidRDefault="00AD5BDC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F84C5F" w:rsidRPr="005F0C7F">
              <w:rPr>
                <w:rFonts w:ascii="PT Astra Serif" w:hAnsi="PT Astra Serif"/>
                <w:sz w:val="24"/>
                <w:szCs w:val="24"/>
              </w:rPr>
              <w:t xml:space="preserve"> № 2</w:t>
            </w:r>
            <w:r w:rsidR="00D44E26" w:rsidRPr="005F0C7F">
              <w:rPr>
                <w:rFonts w:ascii="PT Astra Serif" w:hAnsi="PT Astra Serif"/>
                <w:sz w:val="24"/>
                <w:szCs w:val="24"/>
              </w:rPr>
              <w:t xml:space="preserve"> к докладу</w:t>
            </w:r>
          </w:p>
        </w:tc>
      </w:tr>
      <w:tr w:rsidR="00DE36C9" w:rsidRPr="005F0C7F" w14:paraId="1389C29E" w14:textId="77777777" w:rsidTr="00201574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91BF4F2" w14:textId="77777777" w:rsidR="00DE36C9" w:rsidRPr="005F0C7F" w:rsidRDefault="00DE36C9" w:rsidP="005F0C7F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0B430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D92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BE4C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97E17AB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14:paraId="355EDE7A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DE36C9" w:rsidRPr="005F0C7F" w14:paraId="6BFA4375" w14:textId="77777777" w:rsidTr="00201574">
        <w:tc>
          <w:tcPr>
            <w:tcW w:w="565" w:type="dxa"/>
            <w:vMerge/>
          </w:tcPr>
          <w:p w14:paraId="26FBE823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14:paraId="29055E28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4DF9FD65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14:paraId="0A7AF5DE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14:paraId="2A3707E3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C3658D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C77D8B0" w14:textId="77777777" w:rsidTr="00201574">
        <w:trPr>
          <w:trHeight w:val="708"/>
        </w:trPr>
        <w:tc>
          <w:tcPr>
            <w:tcW w:w="565" w:type="dxa"/>
            <w:vMerge w:val="restart"/>
          </w:tcPr>
          <w:p w14:paraId="7AFAD12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03374D9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Факты выдачи </w:t>
            </w:r>
            <w:r w:rsidR="00AB7D8B" w:rsidRPr="005F0C7F">
              <w:rPr>
                <w:rFonts w:ascii="PT Astra Serif" w:hAnsi="PT Astra Serif"/>
                <w:sz w:val="24"/>
                <w:szCs w:val="24"/>
              </w:rPr>
              <w:t>органу местного самоуправления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 xml:space="preserve"> пре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дупреждения и (или) 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>решения (предписания) по резуль</w:t>
            </w:r>
            <w:r w:rsidRPr="005F0C7F">
              <w:rPr>
                <w:rFonts w:ascii="PT Astra Serif" w:hAnsi="PT Astra Serif"/>
                <w:sz w:val="24"/>
                <w:szCs w:val="24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14:paraId="7BA8742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  <w:p w14:paraId="087C849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6600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25CFC776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2F23D38F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2FA88467" w14:textId="77777777" w:rsidTr="00201574">
        <w:trPr>
          <w:trHeight w:val="708"/>
        </w:trPr>
        <w:tc>
          <w:tcPr>
            <w:tcW w:w="565" w:type="dxa"/>
            <w:vMerge/>
          </w:tcPr>
          <w:p w14:paraId="6CC09334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2DC25BB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2A049E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3F198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14:paraId="01C2186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E2EACD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4CD35866" w14:textId="77777777" w:rsidTr="00201574">
        <w:trPr>
          <w:trHeight w:val="708"/>
        </w:trPr>
        <w:tc>
          <w:tcPr>
            <w:tcW w:w="565" w:type="dxa"/>
            <w:vMerge/>
          </w:tcPr>
          <w:p w14:paraId="6EEC2FE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75F735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7D2BF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Более 1</w:t>
            </w:r>
          </w:p>
        </w:tc>
        <w:tc>
          <w:tcPr>
            <w:tcW w:w="2835" w:type="dxa"/>
          </w:tcPr>
          <w:p w14:paraId="5AFC39D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944FFC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71507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3D7DDAE" w14:textId="77777777" w:rsidTr="00201574">
        <w:trPr>
          <w:trHeight w:val="531"/>
        </w:trPr>
        <w:tc>
          <w:tcPr>
            <w:tcW w:w="565" w:type="dxa"/>
            <w:vMerge w:val="restart"/>
          </w:tcPr>
          <w:p w14:paraId="62F32CE0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60D75D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="00945A60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14:paraId="6D6E016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3039DAB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36894F37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4CB0C08E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42475F90" w14:textId="77777777" w:rsidTr="00201574">
        <w:trPr>
          <w:trHeight w:val="850"/>
        </w:trPr>
        <w:tc>
          <w:tcPr>
            <w:tcW w:w="565" w:type="dxa"/>
            <w:vMerge/>
          </w:tcPr>
          <w:p w14:paraId="7B602ABC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3545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7120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1FFF03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14:paraId="15270B7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F0645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2012D1C1" w14:textId="77777777" w:rsidTr="00201574">
        <w:trPr>
          <w:trHeight w:val="824"/>
        </w:trPr>
        <w:tc>
          <w:tcPr>
            <w:tcW w:w="565" w:type="dxa"/>
            <w:vMerge/>
          </w:tcPr>
          <w:p w14:paraId="4729E2FD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CF5EF4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1E982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2633330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539DFE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684E54A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ABD63F5" w14:textId="77777777" w:rsidTr="00201574">
        <w:trPr>
          <w:trHeight w:val="988"/>
        </w:trPr>
        <w:tc>
          <w:tcPr>
            <w:tcW w:w="565" w:type="dxa"/>
            <w:vMerge w:val="restart"/>
          </w:tcPr>
          <w:p w14:paraId="0D05A458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C7E858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Жалобы на решения, действия (бездействие) </w:t>
            </w:r>
            <w:r w:rsidR="0012490F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14:paraId="0CD589C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771342D3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38F786F3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0B00DA25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6D0BE5" w:rsidRPr="005F0C7F" w14:paraId="003DF9DC" w14:textId="77777777" w:rsidTr="00201574">
        <w:trPr>
          <w:trHeight w:val="708"/>
        </w:trPr>
        <w:tc>
          <w:tcPr>
            <w:tcW w:w="565" w:type="dxa"/>
            <w:vMerge/>
          </w:tcPr>
          <w:p w14:paraId="0EB06F6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1AF254E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736D5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14:paraId="6D9A80B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B48DBB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23248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2F8BA1C" w14:textId="77777777" w:rsidTr="00201574">
        <w:trPr>
          <w:trHeight w:val="565"/>
        </w:trPr>
        <w:tc>
          <w:tcPr>
            <w:tcW w:w="565" w:type="dxa"/>
            <w:vMerge w:val="restart"/>
          </w:tcPr>
          <w:p w14:paraId="64A72F15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4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7CC62160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Выполнение мероприятий по снижению </w:t>
            </w: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рисков нарушения антимонопольного законодательства</w:t>
            </w:r>
          </w:p>
          <w:p w14:paraId="57FB6BEA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367DC9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14:paraId="2285FB2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</w:tcPr>
          <w:p w14:paraId="0901A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14:paraId="1F470788" w14:textId="77777777" w:rsidR="006D0BE5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6D0BE5" w:rsidRPr="005F0C7F" w14:paraId="06FCBA77" w14:textId="77777777" w:rsidTr="00201574">
        <w:trPr>
          <w:trHeight w:val="690"/>
        </w:trPr>
        <w:tc>
          <w:tcPr>
            <w:tcW w:w="565" w:type="dxa"/>
            <w:vMerge/>
          </w:tcPr>
          <w:p w14:paraId="1B088583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0F6B50E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38CA8F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2835" w:type="dxa"/>
          </w:tcPr>
          <w:p w14:paraId="463BAF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14:paraId="7ACE66E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B4F29A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5F0C7F" w14:paraId="51791521" w14:textId="77777777" w:rsidTr="00201574">
        <w:trPr>
          <w:trHeight w:val="1032"/>
        </w:trPr>
        <w:tc>
          <w:tcPr>
            <w:tcW w:w="565" w:type="dxa"/>
            <w:vMerge w:val="restart"/>
          </w:tcPr>
          <w:p w14:paraId="288A2AD1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5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5799679F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5F0C7F">
              <w:rPr>
                <w:rStyle w:val="a7"/>
                <w:rFonts w:ascii="PT Astra Serif" w:hAnsi="PT Astra Serif"/>
                <w:sz w:val="24"/>
                <w:szCs w:val="24"/>
              </w:rPr>
              <w:footnoteReference w:id="1"/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3435" w:type="dxa"/>
          </w:tcPr>
          <w:p w14:paraId="3329147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4A0384B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0407CFCE" w14:textId="77777777" w:rsidR="00433E6D" w:rsidRPr="005F0C7F" w:rsidRDefault="00F84C5F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3ABBCB75" w14:textId="77777777" w:rsidR="00433E6D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33E6D" w:rsidRPr="005F0C7F" w14:paraId="632EF728" w14:textId="77777777" w:rsidTr="00201574">
        <w:trPr>
          <w:trHeight w:val="1032"/>
        </w:trPr>
        <w:tc>
          <w:tcPr>
            <w:tcW w:w="565" w:type="dxa"/>
            <w:vMerge/>
          </w:tcPr>
          <w:p w14:paraId="2D2C73B9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D6046CB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188914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3F39CE6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7AFD9B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204070A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800C47" w14:paraId="21F55AF0" w14:textId="77777777" w:rsidTr="00201574">
        <w:trPr>
          <w:trHeight w:val="1032"/>
        </w:trPr>
        <w:tc>
          <w:tcPr>
            <w:tcW w:w="565" w:type="dxa"/>
            <w:vMerge/>
          </w:tcPr>
          <w:p w14:paraId="1BCCABB9" w14:textId="77777777" w:rsidR="00433E6D" w:rsidRPr="005F0C7F" w:rsidRDefault="00433E6D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5E4AB28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086D3EF" w14:textId="77777777" w:rsidR="00433E6D" w:rsidRPr="005F0C7F" w:rsidRDefault="00FE6410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п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роекты нормативных правовых актов органа местного самоуправления, подлежащие прохождению процедуры «общественного контроля»</w:t>
            </w:r>
            <w:r w:rsidR="00CB6F1A" w:rsidRPr="005F0C7F">
              <w:rPr>
                <w:rFonts w:ascii="PT Astra Serif" w:hAnsi="PT Astra Serif"/>
                <w:sz w:val="24"/>
                <w:szCs w:val="24"/>
              </w:rPr>
              <w:t>, отсутствую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14:paraId="4F7D265B" w14:textId="77777777" w:rsidR="00433E6D" w:rsidRPr="00147E04" w:rsidRDefault="00384298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F35432F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95F2404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CAE667A" w14:textId="77777777" w:rsidR="00DE36C9" w:rsidRDefault="00DE36C9" w:rsidP="005F0C7F">
      <w:pPr>
        <w:spacing w:before="135" w:after="36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DE36C9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14:paraId="299E467D" w14:textId="77777777" w:rsidR="00430BC7" w:rsidRPr="00430BC7" w:rsidRDefault="00430BC7" w:rsidP="005F0C7F">
      <w:pPr>
        <w:spacing w:after="0"/>
        <w:rPr>
          <w:rFonts w:ascii="PT Astra Serif" w:hAnsi="PT Astra Serif"/>
          <w:i/>
          <w:sz w:val="28"/>
          <w:szCs w:val="28"/>
        </w:rPr>
      </w:pPr>
    </w:p>
    <w:sectPr w:rsidR="00430BC7" w:rsidRPr="00430BC7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5EE78" w14:textId="77777777" w:rsidR="00D44BCB" w:rsidRDefault="00D44BCB" w:rsidP="007D3ACF">
      <w:pPr>
        <w:spacing w:after="0" w:line="240" w:lineRule="auto"/>
      </w:pPr>
      <w:r>
        <w:separator/>
      </w:r>
    </w:p>
  </w:endnote>
  <w:endnote w:type="continuationSeparator" w:id="0">
    <w:p w14:paraId="60A621C1" w14:textId="77777777" w:rsidR="00D44BCB" w:rsidRDefault="00D44BCB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506D5" w14:textId="77777777" w:rsidR="00D44BCB" w:rsidRDefault="00D44BCB" w:rsidP="007D3ACF">
      <w:pPr>
        <w:spacing w:after="0" w:line="240" w:lineRule="auto"/>
      </w:pPr>
      <w:r>
        <w:separator/>
      </w:r>
    </w:p>
  </w:footnote>
  <w:footnote w:type="continuationSeparator" w:id="0">
    <w:p w14:paraId="720E7F4A" w14:textId="77777777" w:rsidR="00D44BCB" w:rsidRDefault="00D44BCB" w:rsidP="007D3ACF">
      <w:pPr>
        <w:spacing w:after="0" w:line="240" w:lineRule="auto"/>
      </w:pPr>
      <w:r>
        <w:continuationSeparator/>
      </w:r>
    </w:p>
  </w:footnote>
  <w:footnote w:id="1">
    <w:p w14:paraId="22A5E2B0" w14:textId="77777777" w:rsidR="00433E6D" w:rsidRPr="000818B3" w:rsidRDefault="00433E6D" w:rsidP="006D0BE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BC7"/>
    <w:rsid w:val="0003150F"/>
    <w:rsid w:val="000818B3"/>
    <w:rsid w:val="00091CDB"/>
    <w:rsid w:val="000A2525"/>
    <w:rsid w:val="000F1F1A"/>
    <w:rsid w:val="0012490F"/>
    <w:rsid w:val="00131A43"/>
    <w:rsid w:val="00144417"/>
    <w:rsid w:val="00147E04"/>
    <w:rsid w:val="001C1424"/>
    <w:rsid w:val="00201574"/>
    <w:rsid w:val="002071B0"/>
    <w:rsid w:val="00264208"/>
    <w:rsid w:val="00267520"/>
    <w:rsid w:val="002950C1"/>
    <w:rsid w:val="0031468A"/>
    <w:rsid w:val="00316AF5"/>
    <w:rsid w:val="00384298"/>
    <w:rsid w:val="003858BF"/>
    <w:rsid w:val="003B0B94"/>
    <w:rsid w:val="00401492"/>
    <w:rsid w:val="00430BC7"/>
    <w:rsid w:val="00433E6D"/>
    <w:rsid w:val="004643DF"/>
    <w:rsid w:val="00472F0B"/>
    <w:rsid w:val="0048633A"/>
    <w:rsid w:val="0049425E"/>
    <w:rsid w:val="004D78D9"/>
    <w:rsid w:val="004E4312"/>
    <w:rsid w:val="004F0A0D"/>
    <w:rsid w:val="00515BE9"/>
    <w:rsid w:val="00557185"/>
    <w:rsid w:val="0058005F"/>
    <w:rsid w:val="005827A3"/>
    <w:rsid w:val="005F0C7F"/>
    <w:rsid w:val="005F29F9"/>
    <w:rsid w:val="006121F9"/>
    <w:rsid w:val="00623CE9"/>
    <w:rsid w:val="00631CC0"/>
    <w:rsid w:val="00660592"/>
    <w:rsid w:val="006A2796"/>
    <w:rsid w:val="006D0BE5"/>
    <w:rsid w:val="00741959"/>
    <w:rsid w:val="007521D5"/>
    <w:rsid w:val="00760CB8"/>
    <w:rsid w:val="00771F17"/>
    <w:rsid w:val="007D3ACF"/>
    <w:rsid w:val="007D6C53"/>
    <w:rsid w:val="007D6E05"/>
    <w:rsid w:val="007D6E4E"/>
    <w:rsid w:val="007E2BAB"/>
    <w:rsid w:val="007F3687"/>
    <w:rsid w:val="00813CD9"/>
    <w:rsid w:val="00835AD2"/>
    <w:rsid w:val="008670F7"/>
    <w:rsid w:val="008A59C5"/>
    <w:rsid w:val="008A64AA"/>
    <w:rsid w:val="008D06FB"/>
    <w:rsid w:val="009026F9"/>
    <w:rsid w:val="00944824"/>
    <w:rsid w:val="00945A60"/>
    <w:rsid w:val="00997D92"/>
    <w:rsid w:val="009C2561"/>
    <w:rsid w:val="009F21A0"/>
    <w:rsid w:val="009F3386"/>
    <w:rsid w:val="00A2404E"/>
    <w:rsid w:val="00A32BBD"/>
    <w:rsid w:val="00A86F37"/>
    <w:rsid w:val="00AA5B65"/>
    <w:rsid w:val="00AB7D8B"/>
    <w:rsid w:val="00AD5BDC"/>
    <w:rsid w:val="00AE0A9B"/>
    <w:rsid w:val="00AE1A95"/>
    <w:rsid w:val="00AF3B6B"/>
    <w:rsid w:val="00B00C62"/>
    <w:rsid w:val="00B02845"/>
    <w:rsid w:val="00B030C2"/>
    <w:rsid w:val="00B5766D"/>
    <w:rsid w:val="00B929AD"/>
    <w:rsid w:val="00BD6097"/>
    <w:rsid w:val="00C255C1"/>
    <w:rsid w:val="00C41870"/>
    <w:rsid w:val="00C511FB"/>
    <w:rsid w:val="00C722EC"/>
    <w:rsid w:val="00C8238B"/>
    <w:rsid w:val="00C87513"/>
    <w:rsid w:val="00C90CEB"/>
    <w:rsid w:val="00CA6B60"/>
    <w:rsid w:val="00CB6F1A"/>
    <w:rsid w:val="00D412E4"/>
    <w:rsid w:val="00D44BCB"/>
    <w:rsid w:val="00D44E26"/>
    <w:rsid w:val="00D47C5D"/>
    <w:rsid w:val="00D6322F"/>
    <w:rsid w:val="00D769EB"/>
    <w:rsid w:val="00DB1EE4"/>
    <w:rsid w:val="00DE36C9"/>
    <w:rsid w:val="00E27786"/>
    <w:rsid w:val="00E31D84"/>
    <w:rsid w:val="00E924B6"/>
    <w:rsid w:val="00EA0D7B"/>
    <w:rsid w:val="00EA405B"/>
    <w:rsid w:val="00EB3BAE"/>
    <w:rsid w:val="00ED1716"/>
    <w:rsid w:val="00EF4E9A"/>
    <w:rsid w:val="00F26CD1"/>
    <w:rsid w:val="00F32D1E"/>
    <w:rsid w:val="00F37B95"/>
    <w:rsid w:val="00F4677F"/>
    <w:rsid w:val="00F47E86"/>
    <w:rsid w:val="00F84C5F"/>
    <w:rsid w:val="00FC2913"/>
    <w:rsid w:val="00FE01A6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5DE"/>
  <w15:docId w15:val="{5A620505-A918-4D11-9B3B-DC8BE00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B6D2-E1DC-404D-9A96-F385438B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5</cp:revision>
  <cp:lastPrinted>2021-09-03T08:40:00Z</cp:lastPrinted>
  <dcterms:created xsi:type="dcterms:W3CDTF">2024-02-19T05:38:00Z</dcterms:created>
  <dcterms:modified xsi:type="dcterms:W3CDTF">2025-01-22T02:47:00Z</dcterms:modified>
</cp:coreProperties>
</file>