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C2" w:rsidRDefault="009331C2" w:rsidP="009331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ПРОЕКТ</w:t>
      </w:r>
      <w:bookmarkStart w:id="0" w:name="_GoBack"/>
      <w:bookmarkEnd w:id="0"/>
    </w:p>
    <w:p w:rsidR="009331C2" w:rsidRPr="00AC7A1C" w:rsidRDefault="009331C2" w:rsidP="009331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МУНИЦИПАЛЬНОЕ ОБРАЗОВАНИЕ ТОЛПАРОВСКОЕ СЕЛЬСКОЕ ПОСЕЛЕНИЕ</w:t>
      </w:r>
    </w:p>
    <w:p w:rsidR="009331C2" w:rsidRPr="00AC7A1C" w:rsidRDefault="009331C2" w:rsidP="009331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КАРГАСОКСКИЙ РАЙОН</w:t>
      </w:r>
    </w:p>
    <w:p w:rsidR="009331C2" w:rsidRPr="00AC7A1C" w:rsidRDefault="009331C2" w:rsidP="009331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ТОМСКАЯ ОБЛАСТЬ</w:t>
      </w:r>
    </w:p>
    <w:p w:rsidR="009331C2" w:rsidRPr="00AC7A1C" w:rsidRDefault="009331C2" w:rsidP="009331C2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9331C2" w:rsidRPr="00AC7A1C" w:rsidRDefault="009331C2" w:rsidP="009331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МУНИЦИПАЛЬНОЕ КАЗЕННОЕ УЧРЕЖДЕНИЕ</w:t>
      </w:r>
    </w:p>
    <w:p w:rsidR="009331C2" w:rsidRPr="00AC7A1C" w:rsidRDefault="009331C2" w:rsidP="009331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331C2" w:rsidRPr="00AC7A1C" w:rsidRDefault="009331C2" w:rsidP="009331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«АДМИНИСТРАЦИЯ ТОЛПАРОВСКОГО СЕЛЬСКОГО ПОСЕЛЕНИЯ»</w:t>
      </w:r>
    </w:p>
    <w:p w:rsidR="009331C2" w:rsidRPr="00AC7A1C" w:rsidRDefault="009331C2" w:rsidP="009331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331C2" w:rsidRPr="00AC7A1C" w:rsidRDefault="009331C2" w:rsidP="00933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ПОСТАНОВЛЕНИЕ</w:t>
      </w:r>
    </w:p>
    <w:p w:rsidR="009331C2" w:rsidRPr="00AC7A1C" w:rsidRDefault="009331C2" w:rsidP="009331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.2019</w:t>
      </w:r>
      <w:r w:rsidRPr="00AC7A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№  </w:t>
      </w:r>
    </w:p>
    <w:p w:rsidR="009331C2" w:rsidRPr="00AC7A1C" w:rsidRDefault="009331C2" w:rsidP="009331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31C2" w:rsidRPr="00AC7A1C" w:rsidRDefault="009331C2" w:rsidP="009331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 xml:space="preserve"> п. Киевский </w:t>
      </w:r>
    </w:p>
    <w:p w:rsidR="009331C2" w:rsidRPr="00AC7A1C" w:rsidRDefault="009331C2" w:rsidP="009331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9331C2" w:rsidRPr="00AC7A1C" w:rsidTr="00CE05ED">
        <w:trPr>
          <w:trHeight w:val="1809"/>
        </w:trPr>
        <w:tc>
          <w:tcPr>
            <w:tcW w:w="4644" w:type="dxa"/>
          </w:tcPr>
          <w:p w:rsidR="009331C2" w:rsidRPr="00AC7A1C" w:rsidRDefault="009331C2" w:rsidP="00CE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AC7A1C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proofErr w:type="gramEnd"/>
            <w:r w:rsidRPr="00AC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7A1C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Pr="00AC7A1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18.10.2016 № 30 «Об утверждении административного регламента предоставления муниципальной услуги «Выдача и продление срока действия разрешений </w:t>
            </w:r>
          </w:p>
          <w:p w:rsidR="009331C2" w:rsidRPr="00AC7A1C" w:rsidRDefault="009331C2" w:rsidP="00CE05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C7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AC7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строительство, реконструкцию объектов капитального строительства, расположенных на территории муниципального образования </w:t>
            </w:r>
            <w:proofErr w:type="spellStart"/>
            <w:r w:rsidRPr="00AC7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Толпаровское</w:t>
            </w:r>
            <w:proofErr w:type="spellEnd"/>
            <w:r w:rsidRPr="00AC7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сельское поселение»</w:t>
            </w:r>
          </w:p>
        </w:tc>
      </w:tr>
    </w:tbl>
    <w:p w:rsidR="009331C2" w:rsidRPr="00AC7A1C" w:rsidRDefault="009331C2" w:rsidP="009331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9331C2" w:rsidRPr="00AC7A1C" w:rsidRDefault="009331C2" w:rsidP="009331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331C2" w:rsidRPr="00AC7A1C" w:rsidRDefault="009331C2" w:rsidP="00933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331C2" w:rsidRPr="00AC7A1C" w:rsidRDefault="009331C2" w:rsidP="009331C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331C2" w:rsidRPr="00AC7A1C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9331C2" w:rsidRPr="00AC7A1C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A1C">
        <w:rPr>
          <w:rFonts w:ascii="Times New Roman" w:hAnsi="Times New Roman"/>
          <w:sz w:val="24"/>
          <w:szCs w:val="24"/>
        </w:rPr>
        <w:t xml:space="preserve">      </w:t>
      </w:r>
    </w:p>
    <w:p w:rsidR="009331C2" w:rsidRPr="00AC7A1C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C7A1C">
        <w:rPr>
          <w:rFonts w:ascii="Times New Roman" w:eastAsia="Times New Roman" w:hAnsi="Times New Roman" w:cs="Calibri"/>
          <w:b/>
          <w:sz w:val="24"/>
          <w:szCs w:val="24"/>
        </w:rPr>
        <w:t>ПОСТАНОВЛЯЮ:</w:t>
      </w:r>
    </w:p>
    <w:p w:rsidR="009331C2" w:rsidRPr="00AC7A1C" w:rsidRDefault="009331C2" w:rsidP="009331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1. Внести в постановление Администрации </w:t>
      </w:r>
      <w:proofErr w:type="spellStart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>Толпаровского</w:t>
      </w:r>
      <w:proofErr w:type="spellEnd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от 18.10.2016 № 30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>Толпаровское</w:t>
      </w:r>
      <w:proofErr w:type="spellEnd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сельское поселение» </w:t>
      </w: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>следующие изменения: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1) пункт</w:t>
      </w:r>
      <w:r w:rsidRPr="001317E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2.3</w:t>
      </w:r>
      <w:proofErr w:type="gramStart"/>
      <w:r w:rsidRPr="001317E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.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следующей редакции: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«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2.3. При предоставлении муниципальной услуги администрация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Толпаровского</w:t>
      </w:r>
      <w:proofErr w:type="spell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государственных органов, органов местного 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" w:history="1">
        <w:r w:rsidRPr="001317E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части 6 статьи 7</w:t>
        </w:r>
      </w:hyperlink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31C2" w:rsidRDefault="009331C2" w:rsidP="009331C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Толпаровского</w:t>
      </w:r>
      <w:proofErr w:type="spell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неудобства.»;</w:t>
      </w:r>
    </w:p>
    <w:p w:rsidR="009331C2" w:rsidRDefault="009331C2" w:rsidP="009331C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пункт 2.5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изложить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следующей редакции:</w:t>
      </w:r>
    </w:p>
    <w:p w:rsidR="009331C2" w:rsidRPr="001317ED" w:rsidRDefault="009331C2" w:rsidP="009331C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«2.5. 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Срок предоставления муниципальной услуги - 7 рабочих дней со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ня поступления в администрацию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Толпаровского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заявления о выдаче разрешения на строительство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подпункт 2 пункта 2.7.1</w:t>
      </w: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. изложить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следующей редакции: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71717" w:themeColor="background2" w:themeShade="1A"/>
          <w:kern w:val="1"/>
          <w:sz w:val="24"/>
          <w:szCs w:val="24"/>
        </w:rPr>
      </w:pPr>
      <w:r w:rsidRPr="001317ED">
        <w:rPr>
          <w:rFonts w:ascii="Times New Roman" w:eastAsia="Times New Roman" w:hAnsi="Times New Roman" w:cs="Calibri"/>
          <w:sz w:val="24"/>
          <w:szCs w:val="24"/>
        </w:rPr>
        <w:t>«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50BB5">
        <w:rPr>
          <w:rFonts w:ascii="Times New Roman" w:hAnsi="Times New Roman"/>
          <w:color w:val="171717" w:themeColor="background2" w:themeShade="1A"/>
          <w:sz w:val="24"/>
          <w:szCs w:val="24"/>
        </w:rPr>
        <w:t>К заявлению прилагаются следующие документы: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 xml:space="preserve">б) при наличии соглашения о передаче в случаях, установленных бюджетным </w:t>
      </w:r>
      <w:hyperlink r:id="rId5" w:history="1">
        <w:r w:rsidRPr="001317ED">
          <w:rPr>
            <w:rFonts w:ascii="Times New Roman" w:eastAsia="Calibri" w:hAnsi="Times New Roman" w:cs="Times New Roman"/>
            <w:color w:val="171717" w:themeColor="background2" w:themeShade="1A"/>
            <w:sz w:val="24"/>
            <w:szCs w:val="24"/>
            <w:lang w:eastAsia="en-US"/>
          </w:rPr>
          <w:t>законодательством</w:t>
        </w:r>
      </w:hyperlink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Росатом</w:t>
      </w:r>
      <w:proofErr w:type="spellEnd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», Государственной корпорацией по космической деятельности «</w:t>
      </w:r>
      <w:proofErr w:type="spellStart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Роскосмос</w:t>
      </w:r>
      <w:proofErr w:type="spellEnd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 xml:space="preserve">», органом управления государственным внебюджетным фондом или органом местного </w:t>
      </w: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lastRenderedPageBreak/>
        <w:t>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материалы,</w:t>
      </w: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 xml:space="preserve"> содержащиеся в проектной документации: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- пояснительная записка;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- архитектурные решения;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- проект организации строительства объекта капитального строительства;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- проект организации работ по сносу или демонтажу объектов капитального строительства, их частей;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д)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proofErr w:type="gramEnd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</w:t>
      </w: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разрешение в соответствии со статьей 40 Градостроительного кодекса Российской Федерации);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ж</w:t>
      </w:r>
      <w:proofErr w:type="gramEnd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з) </w:t>
      </w:r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Росатом</w:t>
      </w:r>
      <w:proofErr w:type="spellEnd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", Государственной корпорацией по космической деятельности "</w:t>
      </w:r>
      <w:proofErr w:type="spellStart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Роскосмос</w:t>
      </w:r>
      <w:proofErr w:type="spellEnd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и</w:t>
      </w:r>
      <w:proofErr w:type="gramEnd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 xml:space="preserve">) </w:t>
      </w: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решение общего собрания собственников помещений и </w:t>
      </w:r>
      <w:proofErr w:type="spellStart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машино</w:t>
      </w:r>
      <w:proofErr w:type="spellEnd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машино</w:t>
      </w:r>
      <w:proofErr w:type="spellEnd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-мест в многоквартирном доме</w:t>
      </w:r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к</w:t>
      </w:r>
      <w:proofErr w:type="gramEnd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л</w:t>
      </w:r>
      <w:proofErr w:type="gramEnd"/>
      <w:r w:rsidRPr="001317E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lang w:eastAsia="en-US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331C2" w:rsidRPr="001317ED" w:rsidRDefault="009331C2" w:rsidP="009331C2">
      <w:pPr>
        <w:spacing w:after="0" w:line="264" w:lineRule="atLeast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в них), указанные в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подпунктах «а», «б», «в», «г», «д», «ж», «и» настоящего пункта, запрашиваются ответственным за предоставление</w:t>
      </w:r>
      <w:r w:rsidRPr="0013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9331C2" w:rsidRPr="001317ED" w:rsidRDefault="009331C2" w:rsidP="009331C2">
      <w:pPr>
        <w:spacing w:after="0" w:line="264" w:lineRule="atLeast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9331C2" w:rsidRPr="001317ED" w:rsidRDefault="009331C2" w:rsidP="009331C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Документы, указанные в 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подпунктах «а», «в», «г» настоящего</w:t>
      </w: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9331C2" w:rsidRPr="001317ED" w:rsidRDefault="009331C2" w:rsidP="009331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317ED">
        <w:rPr>
          <w:rFonts w:ascii="Times New Roman" w:eastAsia="Times New Roman" w:hAnsi="Times New Roman" w:cs="Calibri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Pr="001317ED">
        <w:rPr>
          <w:rFonts w:ascii="Times New Roman" w:eastAsia="Times New Roman" w:hAnsi="Times New Roman" w:cs="Calibri"/>
          <w:sz w:val="24"/>
          <w:szCs w:val="24"/>
        </w:rPr>
        <w:t>»;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пункт 2.7.2</w:t>
      </w: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. исключить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, соответственно изменив нумерацию.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пункт 2.13.1</w:t>
      </w: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. изложить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следующей редакции: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«2.13.1. </w:t>
      </w:r>
      <w:r w:rsidRPr="001317E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отсутствии документов, предусмотренных </w:t>
      </w:r>
      <w:hyperlink r:id="rId6" w:anchor="dst2536" w:history="1">
        <w:r w:rsidRPr="001317ED">
          <w:rPr>
            <w:rFonts w:ascii="Times New Roman" w:eastAsia="Times New Roman" w:hAnsi="Times New Roman" w:cs="Times New Roman"/>
            <w:sz w:val="24"/>
            <w:u w:val="single"/>
          </w:rPr>
          <w:t>частью 7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статьи 51 Градостроительного кодекса Российской Федерации,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Неполучение или несвоевременное получение документов, запрошенных в соответствии с </w:t>
      </w:r>
      <w:hyperlink r:id="rId7" w:anchor="dst2518" w:history="1">
        <w:r w:rsidRPr="001317ED">
          <w:rPr>
            <w:rFonts w:ascii="Times New Roman" w:eastAsia="Times New Roman" w:hAnsi="Times New Roman" w:cs="Times New Roman"/>
            <w:sz w:val="24"/>
            <w:u w:val="single"/>
          </w:rPr>
          <w:t>частью 7.1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статьи 51 Градостроительного кодекса Российской Федерации, не может являться основанием для отказа в выдаче разрешения на строительство. В случае, предусмотренном </w:t>
      </w:r>
      <w:hyperlink r:id="rId8" w:anchor="dst1605" w:history="1">
        <w:r w:rsidRPr="001317ED">
          <w:rPr>
            <w:rFonts w:ascii="Times New Roman" w:eastAsia="Times New Roman" w:hAnsi="Times New Roman" w:cs="Times New Roman"/>
            <w:sz w:val="24"/>
            <w:u w:val="single"/>
          </w:rPr>
          <w:t>частью 11.1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статьи 51 Градостроительного кодекса Российской Федерации,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значения.»;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наименование раздела 5 изложить в следующей редакции: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«5. ДОСУДЕБНЫЙ (ВНЕСУДЕБНЫЙ) ПОРЯДОК ОБЖАЛОВАНИЯ ЗАЯВИТЕЛЕМ РЕШЕНИЙ И ДЕЙСТВИЙ (БЕЗДЕЙСТВИЯ) МКУ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ТОЛПАРОВСКОГО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7</w:t>
      </w:r>
      <w:r w:rsidRPr="001317E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) раздел 5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Calibri"/>
          <w:sz w:val="24"/>
          <w:szCs w:val="24"/>
        </w:rPr>
        <w:t>«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статье 15.1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>. Федерального закона № 210-ФЗ;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1.3.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услуги, у заявителя;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5) отказ в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1.3.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2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1.3.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Томской об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1.3.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10) требование у заявителя при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. статьи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16  Федерального закона № 210- ФЗ.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5.2. Жалоб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администрацию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МКУ администрации </w:t>
      </w:r>
      <w:proofErr w:type="spellStart"/>
      <w:r w:rsidRPr="001317ED">
        <w:rPr>
          <w:rFonts w:ascii="Times New Roman" w:eastAsia="Times New Roman" w:hAnsi="Times New Roman" w:cs="Calibri"/>
          <w:sz w:val="24"/>
          <w:szCs w:val="24"/>
        </w:rPr>
        <w:t>Нововасюганского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Главой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МКУ администрации </w:t>
      </w:r>
      <w:proofErr w:type="spellStart"/>
      <w:r w:rsidRPr="001317ED">
        <w:rPr>
          <w:rFonts w:ascii="Times New Roman" w:eastAsia="Times New Roman" w:hAnsi="Times New Roman" w:cs="Calibri"/>
          <w:sz w:val="24"/>
          <w:szCs w:val="24"/>
        </w:rPr>
        <w:t>Нововасюганского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</w:t>
        </w:r>
        <w:proofErr w:type="gramStart"/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. статьи</w:t>
        </w:r>
        <w:proofErr w:type="gramEnd"/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 xml:space="preserve">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7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служащих, для отношений, связанных с подачей и рассмотрением указанных жалоб, нормы п. 5.1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. и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 административного регламента статьи не применяются.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2 статьи 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5.6. Жалоба должна содержать: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5.7. Жалоба, поступившая в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администрацию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3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317ED">
        <w:rPr>
          <w:rFonts w:ascii="Times New Roman" w:eastAsia="Times New Roman" w:hAnsi="Times New Roman" w:cs="Times New Roman"/>
          <w:sz w:val="24"/>
          <w:szCs w:val="24"/>
        </w:rPr>
        <w:t>п. 5.8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. настоящего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5.9.1. В случае признания жалобы подлежащей удовлетворению в ответе заявителю, дается информация о действиях, осуществляемых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331C2" w:rsidRPr="001317ED" w:rsidRDefault="009331C2" w:rsidP="0093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w:anchor="P22" w:history="1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5.1. настоящего раздела, незамедлительно направляют имеющиеся материалы в органы прокуратуры.</w:t>
      </w:r>
    </w:p>
    <w:p w:rsidR="009331C2" w:rsidRPr="001317ED" w:rsidRDefault="009331C2" w:rsidP="009331C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Pr="001317E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 мая 2006 года № 59-ФЗ «О порядке рассмотрения обращений граждан Российской Федерации».</w:t>
      </w:r>
    </w:p>
    <w:p w:rsidR="009331C2" w:rsidRPr="00AC7A1C" w:rsidRDefault="009331C2" w:rsidP="009331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2. Настоящее постановление вступает в силу со дня официального обнародования.</w:t>
      </w:r>
    </w:p>
    <w:p w:rsidR="009331C2" w:rsidRPr="00AC7A1C" w:rsidRDefault="009331C2" w:rsidP="009331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>Толпаровское</w:t>
      </w:r>
      <w:proofErr w:type="spellEnd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сельское </w:t>
      </w: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поселение».</w:t>
      </w:r>
    </w:p>
    <w:p w:rsidR="009331C2" w:rsidRPr="00AC7A1C" w:rsidRDefault="009331C2" w:rsidP="009331C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31C2" w:rsidRPr="00AC7A1C" w:rsidRDefault="009331C2" w:rsidP="009331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9331C2" w:rsidRPr="00AC7A1C" w:rsidRDefault="009331C2" w:rsidP="009331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>Толпаровского</w:t>
      </w:r>
      <w:proofErr w:type="spellEnd"/>
    </w:p>
    <w:p w:rsidR="009331C2" w:rsidRPr="00AC7A1C" w:rsidRDefault="009331C2" w:rsidP="009331C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ar-SA"/>
        </w:rPr>
      </w:pPr>
      <w:proofErr w:type="gramStart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>сельского</w:t>
      </w:r>
      <w:proofErr w:type="gramEnd"/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 поселения </w:t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        А.И. Романов</w:t>
      </w:r>
    </w:p>
    <w:p w:rsidR="009331C2" w:rsidRDefault="009331C2" w:rsidP="009331C2"/>
    <w:p w:rsidR="00C36A90" w:rsidRDefault="00C36A90"/>
    <w:sectPr w:rsidR="00C36A90" w:rsidSect="00F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C2"/>
    <w:rsid w:val="009331C2"/>
    <w:rsid w:val="00C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A40D7-D204-400C-89CD-7FC14FAA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570afc6feff03328459242886307d6aebe1ccb6b/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89923B3B9EC8A057D3B417CAADE2162D11829169B46ZEiE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://www.consultant.ru/document/cons_doc_LAW_301011/a7c2f5bf841aae38a03420067b02834b570686d3/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570afc6feff03328459242886307d6aebe1ccb6b/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hyperlink" Target="consultantplus://offline/ref=C9D7954D51C2D9D0B002C8986DAA2BFB12B46A07DE7CE77EEE75277814042BD46D27B701CE7Ar1BCI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consultantplus://offline/ref=A872942D0E78920B4A99B74389CCE62EF20E378E841E31C285F200B008F3150056FE40664BC0G" TargetMode="External"/><Relationship Id="rId9" Type="http://schemas.openxmlformats.org/officeDocument/2006/relationships/hyperlink" Target="consultantplus://offline/ref=4DA3E4C47E26AA60CE777B909FC82EC15686199123B3B9EC8A057D3B417CAADE2162D11B2DZ1i3G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4680</Words>
  <Characters>26676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2019-10-30T04:37:00Z</dcterms:created>
  <dcterms:modified xsi:type="dcterms:W3CDTF">2019-10-30T04:38:00Z</dcterms:modified>
</cp:coreProperties>
</file>